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2D87" w14:textId="77777777" w:rsidR="00787CC5" w:rsidRDefault="00787CC5" w:rsidP="00787CC5">
      <w:pPr>
        <w:spacing w:line="276" w:lineRule="auto"/>
        <w:jc w:val="left"/>
        <w:rPr>
          <w:rFonts w:eastAsiaTheme="majorEastAsia" w:cs="Times New Roman"/>
          <w:b/>
          <w:bCs/>
          <w:color w:val="000000" w:themeColor="text1"/>
        </w:rPr>
      </w:pPr>
    </w:p>
    <w:p w14:paraId="709F6078" w14:textId="77777777" w:rsidR="00787CC5" w:rsidRDefault="00787CC5" w:rsidP="00787CC5">
      <w:pPr>
        <w:pStyle w:val="Heading1"/>
        <w:numPr>
          <w:ilvl w:val="0"/>
          <w:numId w:val="0"/>
        </w:numPr>
      </w:pPr>
      <w:r w:rsidRPr="0027768E">
        <w:t>III. S</w:t>
      </w:r>
      <w:r>
        <w:t>ZÁMÚ MELLÉKLET</w:t>
      </w:r>
    </w:p>
    <w:p w14:paraId="2D44BFED" w14:textId="77777777" w:rsidR="00787CC5" w:rsidRDefault="00787CC5" w:rsidP="00787CC5">
      <w:pPr>
        <w:pStyle w:val="ListParagraph"/>
        <w:ind w:left="0"/>
        <w:contextualSpacing w:val="0"/>
        <w:jc w:val="center"/>
        <w:rPr>
          <w:rFonts w:cs="Times New Roman"/>
          <w:b/>
          <w:bCs/>
        </w:rPr>
      </w:pPr>
      <w:r w:rsidRPr="002110C1">
        <w:rPr>
          <w:rFonts w:cs="Times New Roman"/>
          <w:b/>
          <w:bCs/>
        </w:rPr>
        <w:t>ÉRDEKMÉRLEGELÉSI TESZT</w:t>
      </w:r>
      <w:r>
        <w:rPr>
          <w:rFonts w:cs="Times New Roman"/>
          <w:b/>
          <w:bCs/>
        </w:rPr>
        <w:br/>
      </w:r>
      <w:bookmarkStart w:id="0" w:name="_Hlk100683751"/>
      <w:r>
        <w:rPr>
          <w:rFonts w:cs="Times New Roman"/>
          <w:b/>
          <w:bCs/>
        </w:rPr>
        <w:t xml:space="preserve">JOGI IGÉNYEK ÉRVÉNYESÍTÉSE ÉS JOGI IGÉNYEKKEL SZEMBENI FELLÉPÉS </w:t>
      </w:r>
      <w:r w:rsidRPr="00170204">
        <w:rPr>
          <w:rFonts w:cs="Times New Roman"/>
          <w:b/>
          <w:bCs/>
        </w:rPr>
        <w:t>TÁRGYÁBAN</w:t>
      </w:r>
      <w:bookmarkEnd w:id="0"/>
    </w:p>
    <w:p w14:paraId="4183A2F7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 w:rsidRPr="00A31E8C">
        <w:rPr>
          <w:rFonts w:cs="Times New Roman"/>
          <w:caps w:val="0"/>
        </w:rPr>
        <w:t>AZ ADATKEZELŐ</w:t>
      </w:r>
      <w:r>
        <w:rPr>
          <w:rFonts w:cs="Times New Roman"/>
          <w:caps w:val="0"/>
        </w:rPr>
        <w:t>K</w:t>
      </w:r>
      <w:r w:rsidRPr="00A31E8C">
        <w:rPr>
          <w:rFonts w:cs="Times New Roman"/>
          <w:caps w:val="0"/>
        </w:rPr>
        <w:t xml:space="preserve"> JOGOS ÉRDEKÉNEK MEGHATÁROZÁSA</w:t>
      </w:r>
    </w:p>
    <w:p w14:paraId="720FBC96" w14:textId="77777777" w:rsidR="00787CC5" w:rsidRPr="00A31E8C" w:rsidRDefault="00787CC5" w:rsidP="00787CC5">
      <w:pPr>
        <w:pStyle w:val="VJTcmsor2"/>
        <w:numPr>
          <w:ilvl w:val="1"/>
          <w:numId w:val="3"/>
        </w:numPr>
        <w:tabs>
          <w:tab w:val="left" w:pos="851"/>
        </w:tabs>
      </w:pPr>
      <w:r w:rsidRPr="00A31E8C">
        <w:t>Az Adatkezelő</w:t>
      </w:r>
      <w:r>
        <w:t>k</w:t>
      </w:r>
      <w:r w:rsidRPr="00A31E8C">
        <w:t xml:space="preserve"> az adatkezelési tevékenység</w:t>
      </w:r>
      <w:r>
        <w:t>ük</w:t>
      </w:r>
      <w:r w:rsidRPr="00A31E8C">
        <w:t xml:space="preserve"> során </w:t>
      </w:r>
      <w:r>
        <w:t>arra törekszenek</w:t>
      </w:r>
      <w:r w:rsidRPr="00A31E8C">
        <w:t>, hogy a lehető legszélesebb körben biztosíts</w:t>
      </w:r>
      <w:r>
        <w:t>ák</w:t>
      </w:r>
      <w:r w:rsidRPr="00A31E8C">
        <w:t xml:space="preserve"> az </w:t>
      </w:r>
      <w:r>
        <w:t>é</w:t>
      </w:r>
      <w:r w:rsidRPr="00A31E8C">
        <w:t xml:space="preserve">rintettek, így </w:t>
      </w:r>
      <w:r>
        <w:t>a Szolgáltatást igénybe vevők</w:t>
      </w:r>
      <w:r w:rsidRPr="00A31E8C">
        <w:t xml:space="preserve"> számára a rendelkezést a saját adataikkal.</w:t>
      </w:r>
    </w:p>
    <w:p w14:paraId="60C2C50B" w14:textId="77777777" w:rsidR="00787CC5" w:rsidRPr="00A31E8C" w:rsidRDefault="00787CC5" w:rsidP="00787CC5">
      <w:pPr>
        <w:pStyle w:val="VJTcmsor2"/>
        <w:numPr>
          <w:ilvl w:val="1"/>
          <w:numId w:val="3"/>
        </w:numPr>
        <w:tabs>
          <w:tab w:val="left" w:pos="851"/>
        </w:tabs>
        <w:ind w:left="624" w:hanging="624"/>
      </w:pPr>
      <w:r w:rsidRPr="00A31E8C">
        <w:t>Az Adatkezelő</w:t>
      </w:r>
      <w:r>
        <w:t>k</w:t>
      </w:r>
      <w:r w:rsidRPr="00A31E8C">
        <w:t xml:space="preserve"> érdeke azonban, hogy egy esetleges jogvita (jogi igényekkel szembeni védekezés vagy azok érvényesítése) </w:t>
      </w:r>
      <w:r>
        <w:t xml:space="preserve">vagy hatósági eljárás </w:t>
      </w:r>
      <w:r w:rsidRPr="00A31E8C">
        <w:t>esetén bizonyítani tudj</w:t>
      </w:r>
      <w:r>
        <w:t>ák</w:t>
      </w:r>
      <w:r w:rsidRPr="00A31E8C">
        <w:t xml:space="preserve"> </w:t>
      </w:r>
      <w:r>
        <w:t>a Szolgáltatás nyújtása során</w:t>
      </w:r>
      <w:r w:rsidRPr="00A31E8C">
        <w:t xml:space="preserve"> </w:t>
      </w:r>
      <w:r>
        <w:t xml:space="preserve">tanúsított, </w:t>
      </w:r>
      <w:r w:rsidRPr="00A31E8C">
        <w:t>jogszerű eljárás</w:t>
      </w:r>
      <w:r>
        <w:t>uka</w:t>
      </w:r>
      <w:r w:rsidRPr="00A31E8C">
        <w:t>t. Ehhez rendelkezni</w:t>
      </w:r>
      <w:r>
        <w:t>ük</w:t>
      </w:r>
      <w:r w:rsidRPr="00A31E8C">
        <w:t xml:space="preserve"> kell azon </w:t>
      </w:r>
      <w:r>
        <w:t>információkkal, amelyek a Szolgáltatás nyújtása során keletkeztek és rendelkezésére álltak</w:t>
      </w:r>
      <w:r w:rsidRPr="00A31E8C">
        <w:t>.</w:t>
      </w:r>
    </w:p>
    <w:p w14:paraId="2B0E2F42" w14:textId="77777777" w:rsidR="00787CC5" w:rsidRPr="00A31E8C" w:rsidRDefault="00787CC5" w:rsidP="00787CC5">
      <w:pPr>
        <w:pStyle w:val="VJTcmsor2"/>
        <w:numPr>
          <w:ilvl w:val="1"/>
          <w:numId w:val="3"/>
        </w:numPr>
        <w:tabs>
          <w:tab w:val="left" w:pos="851"/>
        </w:tabs>
        <w:ind w:left="624" w:hanging="624"/>
      </w:pPr>
      <w:r w:rsidRPr="00A31E8C">
        <w:t xml:space="preserve">A jogos érdek </w:t>
      </w:r>
      <w:r>
        <w:t>kellően</w:t>
      </w:r>
      <w:r w:rsidRPr="00A31E8C">
        <w:t xml:space="preserve"> konkrét, hiszen az Adatkezelő</w:t>
      </w:r>
      <w:r>
        <w:t>k</w:t>
      </w:r>
      <w:r w:rsidRPr="00A31E8C">
        <w:t xml:space="preserve"> által pontosan meghatározott</w:t>
      </w:r>
      <w:r>
        <w:t>:</w:t>
      </w:r>
      <w:r w:rsidRPr="00A31E8C">
        <w:t xml:space="preserve"> jogi igények</w:t>
      </w:r>
      <w:r>
        <w:t xml:space="preserve"> érvényesítése vagy jogi igényekkel </w:t>
      </w:r>
      <w:r w:rsidRPr="00A31E8C">
        <w:t>szembeni védekezés érdekében kívánj</w:t>
      </w:r>
      <w:r>
        <w:t>ák</w:t>
      </w:r>
      <w:r w:rsidRPr="00A31E8C">
        <w:t xml:space="preserve"> a személyes adatok </w:t>
      </w:r>
      <w:r>
        <w:t>tárolását</w:t>
      </w:r>
      <w:r w:rsidRPr="00A31E8C">
        <w:t xml:space="preserve"> </w:t>
      </w:r>
      <w:r>
        <w:t xml:space="preserve">és felhasználását </w:t>
      </w:r>
      <w:r w:rsidRPr="00A31E8C">
        <w:t>megvalósítani.</w:t>
      </w:r>
    </w:p>
    <w:p w14:paraId="5A37BEE8" w14:textId="77777777" w:rsidR="00787CC5" w:rsidRPr="00A31E8C" w:rsidRDefault="00787CC5" w:rsidP="00787CC5">
      <w:pPr>
        <w:pStyle w:val="VJTcmsor2"/>
        <w:numPr>
          <w:ilvl w:val="1"/>
          <w:numId w:val="3"/>
        </w:numPr>
        <w:tabs>
          <w:tab w:val="left" w:pos="851"/>
        </w:tabs>
        <w:ind w:left="624" w:hanging="624"/>
      </w:pPr>
      <w:r w:rsidRPr="00A31E8C">
        <w:t xml:space="preserve">A jogos érdek valódi, azt valós tapasztalatok is alátámasztják: </w:t>
      </w:r>
      <w:r>
        <w:t>az üzleti élet területén gyakori, hogy</w:t>
      </w:r>
      <w:r w:rsidRPr="00A31E8C">
        <w:t xml:space="preserve"> ezeket a</w:t>
      </w:r>
      <w:r>
        <w:t xml:space="preserve">z információkat </w:t>
      </w:r>
      <w:r w:rsidRPr="00A31E8C">
        <w:t>fel kel</w:t>
      </w:r>
      <w:r>
        <w:t>l</w:t>
      </w:r>
      <w:r w:rsidRPr="00A31E8C">
        <w:t xml:space="preserve"> használni</w:t>
      </w:r>
      <w:r>
        <w:t xml:space="preserve"> egy, a felek közötti esetleges vita esetén</w:t>
      </w:r>
      <w:r w:rsidRPr="00A31E8C">
        <w:t>.</w:t>
      </w:r>
    </w:p>
    <w:p w14:paraId="27A3B282" w14:textId="77777777" w:rsidR="00787CC5" w:rsidRPr="00A31E8C" w:rsidRDefault="00787CC5" w:rsidP="00787CC5">
      <w:pPr>
        <w:pStyle w:val="VJTcmsor2"/>
        <w:numPr>
          <w:ilvl w:val="1"/>
          <w:numId w:val="3"/>
        </w:numPr>
        <w:tabs>
          <w:tab w:val="left" w:pos="851"/>
        </w:tabs>
        <w:ind w:left="624" w:hanging="624"/>
      </w:pPr>
      <w:r w:rsidRPr="00A31E8C">
        <w:t xml:space="preserve">A jogos érdek aktuális, tekintve, hogy </w:t>
      </w:r>
      <w:r>
        <w:t>egy hatósági eljárás</w:t>
      </w:r>
      <w:r w:rsidRPr="00A31E8C">
        <w:t xml:space="preserve"> bármikor felmerülhet, és ugyanígy, </w:t>
      </w:r>
      <w:r>
        <w:t xml:space="preserve">az érintett személy </w:t>
      </w:r>
      <w:r w:rsidRPr="00A31E8C">
        <w:t xml:space="preserve">bármikor jogi igényt támaszthat </w:t>
      </w:r>
      <w:r>
        <w:t xml:space="preserve">az </w:t>
      </w:r>
      <w:r w:rsidRPr="00A31E8C">
        <w:t>Adatkezelő</w:t>
      </w:r>
      <w:r>
        <w:t>kk</w:t>
      </w:r>
      <w:r w:rsidRPr="00A31E8C">
        <w:t>el szemben.</w:t>
      </w:r>
    </w:p>
    <w:p w14:paraId="4E03F21A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 w:rsidRPr="00A31E8C">
        <w:rPr>
          <w:rFonts w:cs="Times New Roman"/>
        </w:rPr>
        <w:t>AZ ADATKEZELÉS SZÜKSÉGESSÉGE</w:t>
      </w:r>
    </w:p>
    <w:p w14:paraId="086BB73A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</w:pPr>
      <w:r w:rsidRPr="00A31E8C">
        <w:t>Az adatkezelés szükséges, hiszen hiányában az Adatkezelő</w:t>
      </w:r>
      <w:r>
        <w:t>k nem lennének képesek a saját jogi igényeiket érvényesíteni, valamint a felmerülő jogi igényekkel szemben fellépni</w:t>
      </w:r>
      <w:r w:rsidRPr="00A31E8C">
        <w:t>.</w:t>
      </w:r>
    </w:p>
    <w:p w14:paraId="2760CF23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 w:rsidRPr="00A31E8C">
        <w:rPr>
          <w:rFonts w:cs="Times New Roman"/>
        </w:rPr>
        <w:t>LEHETSÉGES MÁS MEGOLDÁS A JOGOS ÉRDEK BIZTOSÍTÁSÁRA</w:t>
      </w:r>
    </w:p>
    <w:p w14:paraId="47F74BDA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Mivel a</w:t>
      </w:r>
      <w:r>
        <w:t xml:space="preserve"> Szolgáltatás nyújtása során keletkezett dokumentumok</w:t>
      </w:r>
      <w:r w:rsidRPr="00A31E8C">
        <w:t xml:space="preserve"> – és a bennük szereplő</w:t>
      </w:r>
      <w:r>
        <w:t>, velük kapcsolatosan megadott</w:t>
      </w:r>
      <w:r w:rsidRPr="00A31E8C">
        <w:t xml:space="preserve"> személyes adatok – maguk képesek az Adatkezelő jogszerű eljárásának igazolására, </w:t>
      </w:r>
      <w:r>
        <w:t>nincs</w:t>
      </w:r>
      <w:r w:rsidRPr="00A31E8C">
        <w:t xml:space="preserve"> más megoldás az Adatkezelő</w:t>
      </w:r>
      <w:r>
        <w:t>k számára</w:t>
      </w:r>
      <w:r w:rsidRPr="00A31E8C">
        <w:t>, mint az adatok tárolása és szükség esetén felhasználása.</w:t>
      </w:r>
    </w:p>
    <w:p w14:paraId="7525D7BD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 w:rsidRPr="00A31E8C">
        <w:rPr>
          <w:rFonts w:cs="Times New Roman"/>
        </w:rPr>
        <w:t>AZ ADATKEZELÉS KÖRÜLMÉNYEI</w:t>
      </w:r>
    </w:p>
    <w:p w14:paraId="47D25CEE" w14:textId="77777777" w:rsidR="00787CC5" w:rsidRDefault="00787CC5" w:rsidP="00787CC5">
      <w:pPr>
        <w:pStyle w:val="VJTcmsor2"/>
        <w:numPr>
          <w:ilvl w:val="1"/>
          <w:numId w:val="2"/>
        </w:numPr>
      </w:pPr>
      <w:r w:rsidRPr="00024A39">
        <w:t xml:space="preserve">Az adatkezelés körülményeit </w:t>
      </w:r>
      <w:r>
        <w:rPr>
          <w:rFonts w:cs="Times New Roman"/>
        </w:rPr>
        <w:t>a kapcsolódó adatkezelési tájékoztató I. számú mellékletének 5.</w:t>
      </w:r>
      <w:r w:rsidRPr="00024A39">
        <w:t xml:space="preserve"> </w:t>
      </w:r>
      <w:r>
        <w:t>pontja</w:t>
      </w:r>
      <w:r w:rsidRPr="00024A39">
        <w:t xml:space="preserve"> tartalmazza.</w:t>
      </w:r>
    </w:p>
    <w:p w14:paraId="6C43E642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 w:rsidRPr="00A31E8C">
        <w:rPr>
          <w:rFonts w:cs="Times New Roman"/>
        </w:rPr>
        <w:t>AZ ADATKEZELÉS HATÁSAI</w:t>
      </w:r>
    </w:p>
    <w:p w14:paraId="03E55CFA" w14:textId="77777777" w:rsidR="00787CC5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Az adatkezelés hatása mindenekelőtt az, hogy a</w:t>
      </w:r>
      <w:r>
        <w:t xml:space="preserve">z érintett </w:t>
      </w:r>
      <w:r w:rsidRPr="00A31E8C">
        <w:t>személyes adatait az Adatkezelő</w:t>
      </w:r>
      <w:r>
        <w:t>k</w:t>
      </w:r>
      <w:r w:rsidRPr="00A31E8C">
        <w:t xml:space="preserve"> az eredeti célnál megjelölt időtartamon túl is kezeli</w:t>
      </w:r>
      <w:r>
        <w:t>k</w:t>
      </w:r>
      <w:r w:rsidRPr="00A31E8C">
        <w:t>, eltérő célból.</w:t>
      </w:r>
    </w:p>
    <w:p w14:paraId="112CA4FC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lastRenderedPageBreak/>
        <w:t>A hosszabb időn keresztül történő adatkezelés eredményeként nő a kockázata annak, hogy az adatokat egy esetleges adatvédelmi incidens érinteni fogja. Ezt a negatív hatást azonban ellensúlyozzák az Adatkezelő</w:t>
      </w:r>
      <w:r>
        <w:t>k</w:t>
      </w:r>
      <w:r w:rsidRPr="00A31E8C">
        <w:t xml:space="preserve"> által alkalmazott megfelelő adatbiztonsági intézkedések.</w:t>
      </w:r>
    </w:p>
    <w:p w14:paraId="78C219EE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>
        <w:t>A</w:t>
      </w:r>
      <w:r w:rsidRPr="00A31E8C">
        <w:t>z adatkezeléssel sérül a</w:t>
      </w:r>
      <w:r>
        <w:t>z érintettek</w:t>
      </w:r>
      <w:r w:rsidRPr="00A31E8C">
        <w:t xml:space="preserve"> saját adataikkal való rendelkezési joga</w:t>
      </w:r>
      <w:r>
        <w:t>, ezt azonban korlátozza az érintetti jogok gyakorlásának biztosítása</w:t>
      </w:r>
      <w:r w:rsidRPr="00A31E8C">
        <w:t>.</w:t>
      </w:r>
    </w:p>
    <w:p w14:paraId="4969BD1E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>
        <w:rPr>
          <w:rFonts w:cs="Times New Roman"/>
          <w:caps w:val="0"/>
        </w:rPr>
        <w:t xml:space="preserve">ÉRINTETTEK </w:t>
      </w:r>
      <w:r w:rsidRPr="00A31E8C">
        <w:rPr>
          <w:rFonts w:cs="Times New Roman"/>
          <w:caps w:val="0"/>
        </w:rPr>
        <w:t>ÉRDEKEI</w:t>
      </w:r>
    </w:p>
    <w:p w14:paraId="7888F2E6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</w:t>
      </w:r>
      <w:r>
        <w:t>z érintett</w:t>
      </w:r>
      <w:r w:rsidRPr="00A31E8C">
        <w:t xml:space="preserve"> elvárhatja azt, hogy az adatai felett lehetőség szerint ő gyakoroljon kontrollt.</w:t>
      </w:r>
    </w:p>
    <w:p w14:paraId="38DB5AF0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Elvárhatja továbbá, hogy a tárolt adatokat az Adatkezelő</w:t>
      </w:r>
      <w:r>
        <w:t>k</w:t>
      </w:r>
      <w:r w:rsidRPr="00A31E8C">
        <w:t xml:space="preserve"> csak a célnak megfelelően használj</w:t>
      </w:r>
      <w:r>
        <w:t>ák</w:t>
      </w:r>
      <w:r w:rsidRPr="00A31E8C">
        <w:t xml:space="preserve"> fel.</w:t>
      </w:r>
    </w:p>
    <w:p w14:paraId="523C8CEB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</w:t>
      </w:r>
      <w:r>
        <w:t xml:space="preserve">z érintett </w:t>
      </w:r>
      <w:r w:rsidRPr="00A31E8C">
        <w:t>elvárhatja továbbá, hogy az Adatkezelő</w:t>
      </w:r>
      <w:r>
        <w:t>k</w:t>
      </w:r>
      <w:r w:rsidRPr="00A31E8C">
        <w:t xml:space="preserve"> biztonságosan kezelj</w:t>
      </w:r>
      <w:r>
        <w:t>ék</w:t>
      </w:r>
      <w:r w:rsidRPr="00A31E8C">
        <w:t xml:space="preserve"> az adatait.</w:t>
      </w:r>
    </w:p>
    <w:p w14:paraId="77F6E424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>
        <w:t>Az érintett</w:t>
      </w:r>
      <w:r w:rsidRPr="00A31E8C">
        <w:t xml:space="preserve"> elvárhatja, hogy tiltakozhasson az adatkezeléssel szemben.</w:t>
      </w:r>
    </w:p>
    <w:p w14:paraId="559B31F0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 w:rsidRPr="00A31E8C">
        <w:rPr>
          <w:rFonts w:cs="Times New Roman"/>
        </w:rPr>
        <w:t>BIZTOSÍTÉKOK</w:t>
      </w:r>
    </w:p>
    <w:p w14:paraId="3DD79D94" w14:textId="77777777" w:rsidR="00787CC5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Az Adatkezelő</w:t>
      </w:r>
      <w:r>
        <w:t>k</w:t>
      </w:r>
      <w:r w:rsidRPr="00A31E8C">
        <w:t xml:space="preserve"> megfelelő biztosítékokat alkalmaz</w:t>
      </w:r>
      <w:r>
        <w:t>nak</w:t>
      </w:r>
      <w:r w:rsidRPr="00A31E8C">
        <w:t xml:space="preserve"> az esetlegesen felmerülő kockázatok/korlátozások ellensúlyozására.</w:t>
      </w:r>
    </w:p>
    <w:p w14:paraId="13C504FE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 xml:space="preserve">Amennyiben az adatok </w:t>
      </w:r>
      <w:r>
        <w:t xml:space="preserve">megőrzési ideje alatt </w:t>
      </w:r>
      <w:r w:rsidRPr="00A31E8C">
        <w:t>nem válnak szükségessé bírósági, hatósági vagy egyéb, felek közötti eljárásban, az Adatkezelő</w:t>
      </w:r>
      <w:r>
        <w:t>k</w:t>
      </w:r>
      <w:r w:rsidRPr="00A31E8C">
        <w:t xml:space="preserve"> az adatokat igényérvényesítési vagy jogviták során történő felhasználás céljából kizárólag tárolja. </w:t>
      </w:r>
      <w:r>
        <w:t>Más adatkezelési műveletet csak akkor végez rajtuk, ha arra a hatósági, bírósági eljárásban szüksége van.</w:t>
      </w:r>
    </w:p>
    <w:p w14:paraId="085D5008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Az</w:t>
      </w:r>
      <w:r>
        <w:t xml:space="preserve"> érintett</w:t>
      </w:r>
      <w:r w:rsidRPr="00A31E8C">
        <w:t xml:space="preserve"> bármikor tiltakozhat az adatkezeléssel szemben, ha a személyes adatát az Adatkezelő</w:t>
      </w:r>
      <w:r>
        <w:t>k</w:t>
      </w:r>
      <w:r w:rsidRPr="00A31E8C">
        <w:t xml:space="preserve"> olyan módon kezeli</w:t>
      </w:r>
      <w:r>
        <w:t>k</w:t>
      </w:r>
      <w:r w:rsidRPr="00A31E8C">
        <w:t>, amellyel az</w:t>
      </w:r>
      <w:r>
        <w:t xml:space="preserve"> érintett</w:t>
      </w:r>
      <w:r w:rsidRPr="00A31E8C">
        <w:t xml:space="preserve"> nem ért egyet.</w:t>
      </w:r>
    </w:p>
    <w:p w14:paraId="7ED3E884" w14:textId="77777777" w:rsidR="00787CC5" w:rsidRPr="00A31E8C" w:rsidRDefault="00787CC5" w:rsidP="00787CC5">
      <w:pPr>
        <w:pStyle w:val="VJTcmsor1"/>
        <w:numPr>
          <w:ilvl w:val="0"/>
          <w:numId w:val="2"/>
        </w:numPr>
        <w:ind w:left="624" w:hanging="624"/>
        <w:rPr>
          <w:rFonts w:cs="Times New Roman"/>
        </w:rPr>
      </w:pPr>
      <w:r>
        <w:rPr>
          <w:rFonts w:cs="Times New Roman"/>
        </w:rPr>
        <w:t xml:space="preserve">AZ </w:t>
      </w:r>
      <w:r w:rsidRPr="00A31E8C">
        <w:rPr>
          <w:rFonts w:cs="Times New Roman"/>
        </w:rPr>
        <w:t>ÉRDEKMÉRLEGELÉSI TESZT EREDMÉNYE</w:t>
      </w:r>
    </w:p>
    <w:p w14:paraId="228C1733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Az Adatkezelő</w:t>
      </w:r>
      <w:r>
        <w:t>k</w:t>
      </w:r>
      <w:r w:rsidRPr="00A31E8C">
        <w:t>nek nem áll rendelkezés</w:t>
      </w:r>
      <w:r>
        <w:t>ük</w:t>
      </w:r>
      <w:r w:rsidRPr="00A31E8C">
        <w:t>re más olyan eszköz, amellyel hatékonyabban biztosítani tudná</w:t>
      </w:r>
      <w:r>
        <w:t>k</w:t>
      </w:r>
      <w:r w:rsidRPr="00A31E8C">
        <w:t>, hogy egy esetleges jogvita vagy igényérvényesítés során fel tudj</w:t>
      </w:r>
      <w:r>
        <w:t>ák</w:t>
      </w:r>
      <w:r w:rsidRPr="00A31E8C">
        <w:t xml:space="preserve"> mutatni azon </w:t>
      </w:r>
      <w:r>
        <w:t>dokumentumokat</w:t>
      </w:r>
      <w:r w:rsidRPr="00A31E8C">
        <w:t>, amelyek az által</w:t>
      </w:r>
      <w:r>
        <w:t>uk</w:t>
      </w:r>
      <w:r w:rsidRPr="00A31E8C">
        <w:t xml:space="preserve"> állítottak alátámasztására szolgálhatnak.</w:t>
      </w:r>
    </w:p>
    <w:p w14:paraId="7362D41E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Ezzel szemben a</w:t>
      </w:r>
      <w:r>
        <w:t>z érintett</w:t>
      </w:r>
      <w:r w:rsidRPr="00A31E8C">
        <w:t>, bár minimálisan sérül az érdeke az adatával való rendelkezés tekintetében, kisebb hátránnyal szembesül, mint amilyen súlyú az Adatkezelő</w:t>
      </w:r>
      <w:r>
        <w:t>k</w:t>
      </w:r>
      <w:r w:rsidRPr="00A31E8C">
        <w:t xml:space="preserve"> azon érdeke, hogy bizonyítani tudj</w:t>
      </w:r>
      <w:r>
        <w:t>ák</w:t>
      </w:r>
      <w:r w:rsidRPr="00A31E8C">
        <w:t xml:space="preserve">, hogy jogszerűen </w:t>
      </w:r>
      <w:r>
        <w:t>jártak</w:t>
      </w:r>
      <w:r w:rsidRPr="00A31E8C">
        <w:t xml:space="preserve"> el.</w:t>
      </w:r>
    </w:p>
    <w:p w14:paraId="317085E0" w14:textId="77777777" w:rsidR="00787CC5" w:rsidRPr="00A31E8C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</w:pPr>
      <w:r w:rsidRPr="00A31E8C">
        <w:t>Az Adatkezelő az 7. pontban meghatározott biztosítékokat alkalmazza.</w:t>
      </w:r>
    </w:p>
    <w:p w14:paraId="44CCA955" w14:textId="77777777" w:rsidR="00787CC5" w:rsidRPr="00757156" w:rsidRDefault="00787CC5" w:rsidP="00787CC5">
      <w:pPr>
        <w:pStyle w:val="VJTcmsor2"/>
        <w:numPr>
          <w:ilvl w:val="1"/>
          <w:numId w:val="2"/>
        </w:numPr>
        <w:tabs>
          <w:tab w:val="left" w:pos="851"/>
        </w:tabs>
        <w:ind w:left="624" w:hanging="624"/>
        <w:rPr>
          <w:rFonts w:cs="Times New Roman"/>
        </w:rPr>
      </w:pPr>
      <w:r w:rsidRPr="00A31E8C">
        <w:t>A fentiek alapján az érdekmérlegelési teszt eredménye tehát az, hogy az Adatkezelő</w:t>
      </w:r>
      <w:r>
        <w:t>k</w:t>
      </w:r>
      <w:r w:rsidRPr="00A31E8C">
        <w:t xml:space="preserve"> jogos érdeke a személyes adatnak </w:t>
      </w:r>
      <w:r w:rsidRPr="001A1D5A">
        <w:rPr>
          <w:bCs/>
        </w:rPr>
        <w:t>jogi igényekkel szemben való védekezés</w:t>
      </w:r>
      <w:r>
        <w:rPr>
          <w:b/>
          <w:bCs/>
        </w:rPr>
        <w:t xml:space="preserve"> </w:t>
      </w:r>
      <w:r w:rsidRPr="00A31E8C">
        <w:t xml:space="preserve">céljából </w:t>
      </w:r>
      <w:r>
        <w:t>történő</w:t>
      </w:r>
      <w:r w:rsidRPr="00A31E8C">
        <w:t xml:space="preserve"> felhasználására, megáll.</w:t>
      </w:r>
    </w:p>
    <w:p w14:paraId="7A88FC3D" w14:textId="77777777" w:rsidR="00787CC5" w:rsidRDefault="00787CC5" w:rsidP="00787CC5">
      <w:pPr>
        <w:pStyle w:val="VJTcmsor2"/>
        <w:numPr>
          <w:ilvl w:val="0"/>
          <w:numId w:val="0"/>
        </w:numPr>
        <w:rPr>
          <w:i/>
          <w:iCs/>
        </w:rPr>
      </w:pPr>
    </w:p>
    <w:p w14:paraId="0DD4F878" w14:textId="7BD4887D" w:rsidR="00787CC5" w:rsidRPr="00787CC5" w:rsidRDefault="00787CC5" w:rsidP="00787CC5">
      <w:pPr>
        <w:pStyle w:val="VJTcmsor2"/>
        <w:numPr>
          <w:ilvl w:val="0"/>
          <w:numId w:val="0"/>
        </w:numPr>
        <w:rPr>
          <w:rFonts w:cs="Times New Roman"/>
        </w:rPr>
      </w:pPr>
      <w:r>
        <w:t xml:space="preserve">Budapest, </w:t>
      </w:r>
      <w:r w:rsidRPr="00075EB5">
        <w:t>2022. október</w:t>
      </w:r>
      <w:r>
        <w:t xml:space="preserve"> 28.</w:t>
      </w:r>
    </w:p>
    <w:sectPr w:rsidR="00787CC5" w:rsidRPr="00787CC5" w:rsidSect="0027768E">
      <w:pgSz w:w="11906" w:h="16838"/>
      <w:pgMar w:top="1417" w:right="1417" w:bottom="1417" w:left="1417" w:header="709" w:footer="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F04"/>
    <w:multiLevelType w:val="multilevel"/>
    <w:tmpl w:val="26D4F9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(%4)"/>
      <w:lvlJc w:val="left"/>
      <w:pPr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52240D2"/>
    <w:multiLevelType w:val="multilevel"/>
    <w:tmpl w:val="26D4F9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(%4)"/>
      <w:lvlJc w:val="left"/>
      <w:pPr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860E29"/>
    <w:multiLevelType w:val="multilevel"/>
    <w:tmpl w:val="4296E6F4"/>
    <w:lvl w:ilvl="0">
      <w:start w:val="1"/>
      <w:numFmt w:val="decimal"/>
      <w:pStyle w:val="VJTcmsor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VJTcmsor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VJTcmsor3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pStyle w:val="VJTcmsor4"/>
      <w:lvlText w:val="(%4)"/>
      <w:lvlJc w:val="left"/>
      <w:pPr>
        <w:ind w:left="1418" w:hanging="567"/>
      </w:pPr>
      <w:rPr>
        <w:rFonts w:hint="default"/>
      </w:rPr>
    </w:lvl>
    <w:lvl w:ilvl="4">
      <w:start w:val="1"/>
      <w:numFmt w:val="lowerRoman"/>
      <w:pStyle w:val="VJTcmsor5"/>
      <w:lvlText w:val="(%5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5">
      <w:start w:val="1"/>
      <w:numFmt w:val="upperLetter"/>
      <w:pStyle w:val="VJTcmsor6"/>
      <w:lvlText w:val="(%6)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5011A86"/>
    <w:multiLevelType w:val="hybridMultilevel"/>
    <w:tmpl w:val="33F0E986"/>
    <w:lvl w:ilvl="0" w:tplc="4E28E55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529142">
    <w:abstractNumId w:val="2"/>
  </w:num>
  <w:num w:numId="2" w16cid:durableId="1037000017">
    <w:abstractNumId w:val="0"/>
  </w:num>
  <w:num w:numId="3" w16cid:durableId="970403793">
    <w:abstractNumId w:val="1"/>
  </w:num>
  <w:num w:numId="4" w16cid:durableId="52784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C5"/>
    <w:rsid w:val="007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B7A3A6"/>
  <w15:chartTrackingRefBased/>
  <w15:docId w15:val="{CBE419F8-3691-1846-85F6-61BEB743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C5"/>
    <w:pPr>
      <w:spacing w:after="200" w:line="288" w:lineRule="auto"/>
      <w:jc w:val="both"/>
    </w:pPr>
    <w:rPr>
      <w:rFonts w:ascii="Times New Roman" w:hAnsi="Times New Roman" w:cstheme="minorHAnsi"/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CC5"/>
    <w:pPr>
      <w:keepNext/>
      <w:keepLines/>
      <w:numPr>
        <w:numId w:val="4"/>
      </w:numPr>
      <w:jc w:val="center"/>
      <w:outlineLvl w:val="0"/>
    </w:pPr>
    <w:rPr>
      <w:rFonts w:eastAsiaTheme="majorEastAsia" w:cs="Times New Roman"/>
      <w:b/>
      <w:bCs/>
      <w:color w:val="000000" w:themeColor="text1"/>
    </w:rPr>
  </w:style>
  <w:style w:type="paragraph" w:styleId="Heading7">
    <w:name w:val="heading 7"/>
    <w:aliases w:val="E1 Marginal,Lev 7,Legal Level 1.1.,h7,H7,7,Simple arabic numbers"/>
    <w:basedOn w:val="Normal"/>
    <w:next w:val="Normal"/>
    <w:link w:val="Heading7Char"/>
    <w:unhideWhenUsed/>
    <w:qFormat/>
    <w:rsid w:val="00787CC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E2 Marginal,Lev 8,Legal Level 1.1.1."/>
    <w:basedOn w:val="Normal"/>
    <w:next w:val="Normal"/>
    <w:link w:val="Heading8Char"/>
    <w:unhideWhenUsed/>
    <w:qFormat/>
    <w:rsid w:val="00787CC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E3 Marginal,Legal Level 1.1.1.1.,Lev 9,Heading 9 (defunct)"/>
    <w:basedOn w:val="Normal"/>
    <w:next w:val="Normal"/>
    <w:link w:val="Heading9Char"/>
    <w:semiHidden/>
    <w:unhideWhenUsed/>
    <w:qFormat/>
    <w:rsid w:val="00787CC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C5"/>
    <w:rPr>
      <w:rFonts w:ascii="Times New Roman" w:eastAsiaTheme="majorEastAsia" w:hAnsi="Times New Roman" w:cs="Times New Roman"/>
      <w:b/>
      <w:bCs/>
      <w:color w:val="000000" w:themeColor="text1"/>
      <w:sz w:val="22"/>
      <w:szCs w:val="22"/>
      <w:lang w:val="hu-HU"/>
    </w:rPr>
  </w:style>
  <w:style w:type="character" w:customStyle="1" w:styleId="Heading7Char">
    <w:name w:val="Heading 7 Char"/>
    <w:basedOn w:val="DefaultParagraphFont"/>
    <w:link w:val="Heading7"/>
    <w:rsid w:val="00787C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hu-HU"/>
    </w:rPr>
  </w:style>
  <w:style w:type="character" w:customStyle="1" w:styleId="Heading8Char">
    <w:name w:val="Heading 8 Char"/>
    <w:basedOn w:val="DefaultParagraphFont"/>
    <w:link w:val="Heading8"/>
    <w:rsid w:val="00787C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/>
    </w:rPr>
  </w:style>
  <w:style w:type="character" w:customStyle="1" w:styleId="Heading9Char">
    <w:name w:val="Heading 9 Char"/>
    <w:basedOn w:val="DefaultParagraphFont"/>
    <w:link w:val="Heading9"/>
    <w:semiHidden/>
    <w:rsid w:val="00787C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/>
    </w:rPr>
  </w:style>
  <w:style w:type="paragraph" w:styleId="ListParagraph">
    <w:name w:val="List Paragraph"/>
    <w:basedOn w:val="Normal"/>
    <w:link w:val="ListParagraphChar"/>
    <w:uiPriority w:val="34"/>
    <w:qFormat/>
    <w:rsid w:val="00787CC5"/>
    <w:pPr>
      <w:ind w:left="720"/>
      <w:contextualSpacing/>
    </w:pPr>
  </w:style>
  <w:style w:type="paragraph" w:customStyle="1" w:styleId="VJTcmsor1">
    <w:name w:val="VJT címsor 1"/>
    <w:basedOn w:val="Normal"/>
    <w:link w:val="VJTcmsor1Char"/>
    <w:qFormat/>
    <w:rsid w:val="00787CC5"/>
    <w:pPr>
      <w:numPr>
        <w:numId w:val="1"/>
      </w:numPr>
      <w:outlineLvl w:val="0"/>
    </w:pPr>
    <w:rPr>
      <w:b/>
      <w:caps/>
    </w:rPr>
  </w:style>
  <w:style w:type="character" w:customStyle="1" w:styleId="VJTcmsor1Char">
    <w:name w:val="VJT címsor 1 Char"/>
    <w:basedOn w:val="DefaultParagraphFont"/>
    <w:link w:val="VJTcmsor1"/>
    <w:rsid w:val="00787CC5"/>
    <w:rPr>
      <w:rFonts w:ascii="Times New Roman" w:hAnsi="Times New Roman" w:cstheme="minorHAnsi"/>
      <w:b/>
      <w:caps/>
      <w:sz w:val="22"/>
      <w:szCs w:val="22"/>
      <w:lang w:val="hu-HU"/>
    </w:rPr>
  </w:style>
  <w:style w:type="paragraph" w:customStyle="1" w:styleId="VJTcmsor2">
    <w:name w:val="VJT címsor 2"/>
    <w:basedOn w:val="Normal"/>
    <w:qFormat/>
    <w:rsid w:val="00787CC5"/>
    <w:pPr>
      <w:numPr>
        <w:ilvl w:val="1"/>
        <w:numId w:val="1"/>
      </w:numPr>
    </w:pPr>
  </w:style>
  <w:style w:type="paragraph" w:customStyle="1" w:styleId="VJTcmsor3">
    <w:name w:val="VJT címsor 3"/>
    <w:basedOn w:val="Normal"/>
    <w:qFormat/>
    <w:rsid w:val="00787CC5"/>
    <w:pPr>
      <w:numPr>
        <w:ilvl w:val="2"/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7CC5"/>
    <w:rPr>
      <w:rFonts w:ascii="Times New Roman" w:hAnsi="Times New Roman" w:cstheme="minorHAnsi"/>
      <w:sz w:val="22"/>
      <w:szCs w:val="22"/>
      <w:lang w:val="hu-HU"/>
    </w:rPr>
  </w:style>
  <w:style w:type="paragraph" w:customStyle="1" w:styleId="VJTcmsor4">
    <w:name w:val="VJT címsor 4"/>
    <w:basedOn w:val="Normal"/>
    <w:qFormat/>
    <w:rsid w:val="00787CC5"/>
    <w:pPr>
      <w:numPr>
        <w:ilvl w:val="3"/>
        <w:numId w:val="1"/>
      </w:numPr>
    </w:pPr>
  </w:style>
  <w:style w:type="paragraph" w:customStyle="1" w:styleId="VJTcmsor5">
    <w:name w:val="VJT címsor 5"/>
    <w:basedOn w:val="Normal"/>
    <w:qFormat/>
    <w:rsid w:val="00787CC5"/>
    <w:pPr>
      <w:numPr>
        <w:ilvl w:val="4"/>
        <w:numId w:val="1"/>
      </w:numPr>
    </w:pPr>
  </w:style>
  <w:style w:type="paragraph" w:customStyle="1" w:styleId="VJTcmsor6">
    <w:name w:val="VJT címsor 6"/>
    <w:basedOn w:val="ListParagraph"/>
    <w:qFormat/>
    <w:rsid w:val="00787CC5"/>
    <w:pPr>
      <w:numPr>
        <w:ilvl w:val="5"/>
        <w:numId w:val="1"/>
      </w:numPr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Molnár</dc:creator>
  <cp:keywords/>
  <dc:description/>
  <cp:lastModifiedBy>Nóra Molnár</cp:lastModifiedBy>
  <cp:revision>1</cp:revision>
  <dcterms:created xsi:type="dcterms:W3CDTF">2022-11-02T12:03:00Z</dcterms:created>
  <dcterms:modified xsi:type="dcterms:W3CDTF">2022-11-02T12:04:00Z</dcterms:modified>
</cp:coreProperties>
</file>